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ROTEIRO PARA OITIVAS</w:t>
      </w:r>
    </w:p>
    <w:p>
      <w:pPr>
        <w:pStyle w:val="Normal1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(IPS e PAD)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ATENÇÃO!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1"/>
        <w:spacing w:lineRule="auto" w:line="276" w:before="20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 servidor investigado, bem como as testemunhas e informantes, deverão ser intimados para o ato com antecedência mínima de 3 (três) dias úteis.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As oitivas deverão ser realizadas por meio do sistema RNP, acessível pelo link: </w:t>
      </w:r>
      <w:hyperlink r:id="rId2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https://ds.cafe.rnp.br/WAYF?entityID=https%3A%2F%2Fconferenciaweb.rnp.br%2Fshibboleth-sp2&amp;return=https%3A%2F%2Fconferenciaweb.rnp.br%2FShibboleth.sso%2FDS%3FSAMLDS%3D1%26target%3Dcookie%253A1751994599_22f3</w:t>
        </w:r>
      </w:hyperlink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Para auxiliar no acesso e uso da plataforma, foi disponibilizado no site da Corregedoria um manual com instruções detalhadas, disponível em:</w:t>
      </w:r>
    </w:p>
    <w:p>
      <w:pPr>
        <w:pStyle w:val="Normal1"/>
        <w:spacing w:lineRule="auto" w:line="276"/>
        <w:jc w:val="both"/>
        <w:rPr/>
      </w:pPr>
      <w:hyperlink r:id="rId3">
        <w:r>
          <w:rPr>
            <w:rFonts w:eastAsia="Arial" w:cs="Arial" w:ascii="Arial" w:hAnsi="Arial"/>
            <w:color w:val="1155CC"/>
            <w:sz w:val="22"/>
            <w:szCs w:val="22"/>
            <w:u w:val="single"/>
          </w:rPr>
          <w:t>https://corregedoria.ifc.edu.br/wp-content/uploads/sites/43/2025/02/Passo-a-Passo-ACESSO-CAFE-Gravacao-de-oitivas-sistema-RNP-2.pdf</w:t>
        </w:r>
      </w:hyperlink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Em caso de dúvidas quanto aos procedimentos no sistema RNP, recomenda-se entrar em contato com a Corregedoria com antecedência mínima de 3 (três) dias úteis antes da realização das oitivas.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1. INSTRUÇÕES INICIAIS:</w:t>
      </w:r>
    </w:p>
    <w:p>
      <w:pPr>
        <w:pStyle w:val="Normal1"/>
        <w:numPr>
          <w:ilvl w:val="0"/>
          <w:numId w:val="1"/>
        </w:numPr>
        <w:spacing w:lineRule="auto" w:line="276" w:before="240" w:after="20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Não é necessário solicitar documento de identificação da parte ou da testemunha.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20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 testemunhas ou informantes devem ser ouvidas individualmente, sem contato com os demais depoentes.</w:t>
      </w:r>
    </w:p>
    <w:p>
      <w:pPr>
        <w:pStyle w:val="Normal1"/>
        <w:numPr>
          <w:ilvl w:val="0"/>
          <w:numId w:val="1"/>
        </w:numPr>
        <w:spacing w:lineRule="auto" w:line="276" w:before="0" w:after="20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Sendo servidor público federal, a recusa injustificada em depor pode configurar infração disciplinar, conforme art. 117, IV, da Lei nº 8.112/1990.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20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 investigado e seu procurador, se constituído, poderão acompanhar as oitivas das testemunhas.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20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Após a inquirição pela Comissão, será facultado ao procurador do acusado formular perguntas por intermédio do presidente da Comissão.</w:t>
      </w:r>
    </w:p>
    <w:p>
      <w:pPr>
        <w:pStyle w:val="Normal1"/>
        <w:numPr>
          <w:ilvl w:val="0"/>
          <w:numId w:val="1"/>
        </w:numPr>
        <w:spacing w:lineRule="auto" w:line="276" w:before="240" w:after="20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 oitivas devem ser gravadas e, quando necessário à adequada instrução do processo, reduzidas a termo, com a indicação dos minutos correspondentes da gravação.</w:t>
      </w:r>
    </w:p>
    <w:p>
      <w:pPr>
        <w:pStyle w:val="Normal1"/>
        <w:spacing w:lineRule="auto" w:line="276" w:before="0" w:after="240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Nesses casos, os arquivos com a gravação deverão ser anexados ao processo, dispensando-se a redução a termo e as assinaturas dos presentes. Contudo, a Comissão deverá lavrar a ata da audiência, registrando a data e o horário do ato, bem como os nomes dos presentes (membros da Comissão, testemunha ou informante, acusado e procurador (se houver).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24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Excepcionalmente, poderá ser realizada a redução integral a termo do depoimento, de forma fiel ao relato prestado pela testemunha ou informante, hipótese em que deverá ser colhida a assinatura do participante.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240" w:after="240"/>
        <w:ind w:left="72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Nesses casos,  a comissão deverá imprimir o termo, apresentar para o participante conferir, colher as assinaturas dos presentes, digitalizar o documento e inseri-lo no processo.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 QUALIFICAÇÃO</w:t>
      </w:r>
    </w:p>
    <w:p>
      <w:pPr>
        <w:pStyle w:val="Normal1"/>
        <w:spacing w:lineRule="auto" w:line="276" w:before="240" w:after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Antes de iniciar o procedimento, o participante deverá ser informado de que a oitiva está sendo gravada por meio do sistema RNP.</w:t>
      </w:r>
    </w:p>
    <w:p>
      <w:pPr>
        <w:pStyle w:val="Normal1"/>
        <w:spacing w:lineRule="auto" w:line="276" w:before="240" w:after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Em seguida, deve-se proceder à sua qualificação, solicitando as seguintes informações: nome completo, cargo, SIAPE e local de lotação. Caso haja procurador constituído, este também deverá ser identificado, informando nome completo e número de inscrição na OAB.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3. VERIFICAÇÃO DE IMPEDIMENTOS</w:t>
      </w:r>
    </w:p>
    <w:p>
      <w:pPr>
        <w:pStyle w:val="Normal1"/>
        <w:spacing w:lineRule="auto" w:line="276" w:before="240" w:after="2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Após a qualificação e antes do início das perguntas, o presidente da Comissão deverá verificar se o participante será ouvido na condição de testemunha ou informante. Para isso, deverá formular as seguintes perguntas: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numPr>
          <w:ilvl w:val="0"/>
          <w:numId w:val="5"/>
        </w:numPr>
        <w:spacing w:lineRule="auto" w:line="276" w:before="0" w:after="20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Possui grau de parentesco, relação de amizade íntima ou inimizade notória com o  investigado ? </w:t>
      </w:r>
      <w:r>
        <w:rPr>
          <w:rFonts w:eastAsia="Arial" w:cs="Arial" w:ascii="Arial" w:hAnsi="Arial"/>
          <w:sz w:val="22"/>
          <w:szCs w:val="22"/>
        </w:rPr>
        <w:t>(Quando o denunciante estiver identificado nos autos e for parte no processo, incluir ele na pergunta).</w:t>
      </w:r>
    </w:p>
    <w:p>
      <w:pPr>
        <w:pStyle w:val="Normal1"/>
        <w:numPr>
          <w:ilvl w:val="0"/>
          <w:numId w:val="5"/>
        </w:numPr>
        <w:spacing w:lineRule="auto" w:line="276" w:before="0" w:after="20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Possui interesse no resultado deste procedimento, seja pelo arquivamento ou pela responsabilização do  servidor  investigado ?</w:t>
      </w:r>
    </w:p>
    <w:p>
      <w:pPr>
        <w:pStyle w:val="Normal1"/>
        <w:numPr>
          <w:ilvl w:val="0"/>
          <w:numId w:val="5"/>
        </w:numPr>
        <w:spacing w:lineRule="auto" w:line="276" w:before="240" w:after="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 Senhor  identifica qualquer fato que possa comprometer sua imparcialidade como depoente ou que, na sua avaliação, impeça de colaborar com isenção neste ato?</w:t>
      </w:r>
    </w:p>
    <w:p>
      <w:pPr>
        <w:pStyle w:val="Normal1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200" w:after="200"/>
        <w:ind w:left="566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responder</w:t>
      </w:r>
      <w:r>
        <w:rPr>
          <w:rFonts w:eastAsia="Arial" w:cs="Arial" w:ascii="Arial" w:hAnsi="Arial"/>
          <w:b/>
          <w:sz w:val="22"/>
          <w:szCs w:val="22"/>
        </w:rPr>
        <w:t xml:space="preserve"> SIM a qualquer pergunta: </w:t>
      </w:r>
      <w:r>
        <w:rPr>
          <w:rFonts w:eastAsia="Arial" w:cs="Arial" w:ascii="Arial" w:hAnsi="Arial"/>
          <w:sz w:val="22"/>
          <w:szCs w:val="22"/>
        </w:rPr>
        <w:t xml:space="preserve">a pessoa será ouvida como </w:t>
      </w:r>
      <w:r>
        <w:rPr>
          <w:rFonts w:eastAsia="Arial" w:cs="Arial" w:ascii="Arial" w:hAnsi="Arial"/>
          <w:sz w:val="22"/>
          <w:szCs w:val="22"/>
          <w:u w:val="single"/>
        </w:rPr>
        <w:t>informante</w:t>
      </w:r>
      <w:r>
        <w:rPr>
          <w:rFonts w:eastAsia="Arial" w:cs="Arial" w:ascii="Arial" w:hAnsi="Arial"/>
          <w:sz w:val="22"/>
          <w:szCs w:val="22"/>
        </w:rPr>
        <w:t>, sem compromisso legal de dizer a verdade, nos termos do art. 29 da Lei nº 9.784/1999.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200" w:after="200"/>
        <w:ind w:left="566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 responder</w:t>
      </w:r>
      <w:r>
        <w:rPr>
          <w:rFonts w:eastAsia="Arial" w:cs="Arial" w:ascii="Arial" w:hAnsi="Arial"/>
          <w:b/>
          <w:sz w:val="22"/>
          <w:szCs w:val="22"/>
        </w:rPr>
        <w:t xml:space="preserve"> NÃO a todas: </w:t>
      </w:r>
      <w:r>
        <w:rPr>
          <w:rFonts w:eastAsia="Arial" w:cs="Arial" w:ascii="Arial" w:hAnsi="Arial"/>
          <w:sz w:val="22"/>
          <w:szCs w:val="22"/>
        </w:rPr>
        <w:t xml:space="preserve">será tomada como </w:t>
      </w:r>
      <w:r>
        <w:rPr>
          <w:rFonts w:eastAsia="Arial" w:cs="Arial" w:ascii="Arial" w:hAnsi="Arial"/>
          <w:sz w:val="22"/>
          <w:szCs w:val="22"/>
          <w:u w:val="single"/>
        </w:rPr>
        <w:t>testemunha</w:t>
      </w:r>
      <w:r>
        <w:rPr>
          <w:rFonts w:eastAsia="Arial" w:cs="Arial" w:ascii="Arial" w:hAnsi="Arial"/>
          <w:sz w:val="22"/>
          <w:szCs w:val="22"/>
        </w:rPr>
        <w:t xml:space="preserve">, devendo assumir o compromisso legal.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4. COMPROMISSO LEGAL QUANDO </w:t>
      </w:r>
      <w:r>
        <w:rPr>
          <w:rFonts w:eastAsia="Arial" w:cs="Arial" w:ascii="Arial" w:hAnsi="Arial"/>
          <w:b/>
          <w:sz w:val="22"/>
          <w:szCs w:val="22"/>
          <w:u w:val="single"/>
        </w:rPr>
        <w:t>TESTEMUNHA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240" w:after="240"/>
        <w:ind w:left="566" w:right="0" w:hanging="4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"Como não foi identificado impedimento ou suspeição, o  senhor  se compromete, neste ato, a dizer a verdade em resposta às perguntas que lhe forem formuladas?"</w:t>
      </w:r>
    </w:p>
    <w:p>
      <w:pPr>
        <w:pStyle w:val="Normal1"/>
        <w:spacing w:lineRule="auto" w:line="276" w:before="240" w:after="240"/>
        <w:ind w:left="566" w:hanging="4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 afirmativo, a testemunha será advertida:</w:t>
      </w:r>
    </w:p>
    <w:p>
      <w:pPr>
        <w:pStyle w:val="Normal1"/>
        <w:numPr>
          <w:ilvl w:val="0"/>
          <w:numId w:val="2"/>
        </w:numPr>
        <w:spacing w:lineRule="auto" w:line="276" w:before="240" w:after="240"/>
        <w:ind w:left="566" w:hanging="4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"Como servidor público federal o senhor está obrigado a responder às perguntas que lhe forem formuladas, conforme prevê o art. 117, IV, da Lei 8.112/1990. Ressaltamos que eventual falsidade em seu depoimento poderá constituir crime de falso testemunho, conforme art. 342 do Código Penal".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 w:before="20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5. INSTRUÇÕES PARA O INTERROGATÓRIO DO  INVESTIGADO : </w:t>
      </w:r>
    </w:p>
    <w:p>
      <w:pPr>
        <w:pStyle w:val="Normal1"/>
        <w:numPr>
          <w:ilvl w:val="0"/>
          <w:numId w:val="4"/>
        </w:numPr>
        <w:spacing w:lineRule="auto" w:line="276" w:before="200" w:after="0"/>
        <w:ind w:left="566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 Presidente deverá observar ao acusado que não está obrigado a responder às perguntas que lhe forem formuladas e o seu silêncio não será interpretado em seu prejuízo;</w:t>
      </w:r>
    </w:p>
    <w:p>
      <w:pPr>
        <w:pStyle w:val="Normal1"/>
        <w:numPr>
          <w:ilvl w:val="0"/>
          <w:numId w:val="4"/>
        </w:numPr>
        <w:spacing w:lineRule="auto" w:line="276" w:before="240" w:after="240"/>
        <w:ind w:left="566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Proceder à sua qualificação como informante, solicitando nome completo, cargo, SIAPE e local de lotação. Caso haja procurador constituído, este também deverá ser identificado, informando nome completo e número de inscrição na OAB.</w:t>
      </w:r>
    </w:p>
    <w:p>
      <w:pPr>
        <w:pStyle w:val="Normal1"/>
        <w:spacing w:lineRule="auto" w:line="276" w:before="200" w:after="20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____________________________________________________________________________</w:t>
      </w:r>
    </w:p>
    <w:p>
      <w:pPr>
        <w:pStyle w:val="Normal1"/>
        <w:spacing w:lineRule="auto" w:line="276" w:before="200" w:after="0"/>
        <w:jc w:val="center"/>
        <w:rPr>
          <w:rFonts w:eastAsia="Arial" w:cs="Arial"/>
          <w:b/>
          <w:b/>
          <w:u w:val="single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spacing w:lineRule="auto" w:line="276" w:before="200" w:after="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SUGESTÃO DE ROTEIRO PARA CONDUÇÃO DA OITIVA</w:t>
      </w:r>
    </w:p>
    <w:p>
      <w:pPr>
        <w:pStyle w:val="Normal1"/>
        <w:spacing w:lineRule="auto" w:line="276" w:before="20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 w:before="200" w:after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“</w:t>
      </w:r>
      <w:r>
        <w:rPr>
          <w:rFonts w:eastAsia="Arial" w:cs="Arial" w:ascii="Arial" w:hAnsi="Arial"/>
          <w:sz w:val="22"/>
          <w:szCs w:val="22"/>
        </w:rPr>
        <w:t>Senhor xxx, bom dia.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Hoje, dia 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xxx </w:t>
      </w:r>
      <w:r>
        <w:rPr>
          <w:rFonts w:eastAsia="Arial" w:cs="Arial" w:ascii="Arial" w:hAnsi="Arial"/>
          <w:sz w:val="22"/>
          <w:szCs w:val="22"/>
        </w:rPr>
        <w:t xml:space="preserve">do </w:t>
      </w:r>
      <w:r>
        <w:rPr>
          <w:rFonts w:eastAsia="Arial" w:cs="Arial" w:ascii="Arial" w:hAnsi="Arial"/>
          <w:color w:val="FF0000"/>
          <w:sz w:val="22"/>
          <w:szCs w:val="22"/>
        </w:rPr>
        <w:t>mês</w:t>
      </w:r>
      <w:r>
        <w:rPr>
          <w:rFonts w:eastAsia="Arial" w:cs="Arial" w:ascii="Arial" w:hAnsi="Arial"/>
          <w:sz w:val="22"/>
          <w:szCs w:val="22"/>
        </w:rPr>
        <w:t xml:space="preserve"> de </w:t>
      </w:r>
      <w:r>
        <w:rPr>
          <w:rFonts w:eastAsia="Arial" w:cs="Arial" w:ascii="Arial" w:hAnsi="Arial"/>
          <w:color w:val="FF0000"/>
          <w:sz w:val="22"/>
          <w:szCs w:val="22"/>
        </w:rPr>
        <w:t>ano</w:t>
      </w:r>
      <w:r>
        <w:rPr>
          <w:rFonts w:eastAsia="Arial" w:cs="Arial" w:ascii="Arial" w:hAnsi="Arial"/>
          <w:sz w:val="22"/>
          <w:szCs w:val="22"/>
        </w:rPr>
        <w:t>, às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xxx</w:t>
      </w:r>
      <w:r>
        <w:rPr>
          <w:rFonts w:eastAsia="Arial" w:cs="Arial" w:ascii="Arial" w:hAnsi="Arial"/>
          <w:sz w:val="22"/>
          <w:szCs w:val="22"/>
        </w:rPr>
        <w:t xml:space="preserve"> horas, damos início à sua oitiva. Informo que ela está sendo gravada por meio do sistema RNP.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Para fins de registro, informo que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Corregedoria do IFC </w:t>
      </w:r>
      <w:r>
        <w:rPr>
          <w:rFonts w:eastAsia="Arial" w:cs="Arial" w:ascii="Arial" w:hAnsi="Arial"/>
          <w:sz w:val="22"/>
          <w:szCs w:val="22"/>
        </w:rPr>
        <w:t xml:space="preserve">instaurou o </w:t>
      </w:r>
      <w:r>
        <w:rPr>
          <w:rFonts w:eastAsia="Arial" w:cs="Arial" w:ascii="Arial" w:hAnsi="Arial"/>
          <w:color w:val="FF0000"/>
          <w:sz w:val="22"/>
          <w:szCs w:val="22"/>
        </w:rPr>
        <w:t>”P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shd w:fill="auto" w:val="clear"/>
          <w:vertAlign w:val="baseline"/>
        </w:rPr>
        <w:t>rocesso Administrativo Disciplin</w:t>
      </w:r>
      <w:r>
        <w:rPr>
          <w:rFonts w:eastAsia="Arial" w:cs="Arial" w:ascii="Arial" w:hAnsi="Arial"/>
          <w:color w:val="FF0000"/>
          <w:sz w:val="22"/>
          <w:szCs w:val="22"/>
        </w:rPr>
        <w:t>ar” ou da “Investigação Preliminar Sumária”</w:t>
      </w:r>
      <w:r>
        <w:rPr>
          <w:rFonts w:eastAsia="Arial" w:cs="Arial" w:ascii="Arial" w:hAnsi="Arial"/>
          <w:sz w:val="22"/>
          <w:szCs w:val="22"/>
        </w:rPr>
        <w:t xml:space="preserve"> nº </w:t>
      </w:r>
      <w:r>
        <w:rPr>
          <w:rFonts w:eastAsia="Arial" w:cs="Arial" w:ascii="Arial" w:hAnsi="Arial"/>
          <w:color w:val="FF0000"/>
          <w:sz w:val="22"/>
          <w:szCs w:val="22"/>
        </w:rPr>
        <w:t>xxxxxxxx</w:t>
      </w:r>
      <w:r>
        <w:rPr>
          <w:rFonts w:eastAsia="Arial" w:cs="Arial" w:ascii="Arial" w:hAnsi="Arial"/>
          <w:sz w:val="22"/>
          <w:szCs w:val="22"/>
        </w:rPr>
        <w:t xml:space="preserve">, em face do servidor xxxxx, SIAPE </w:t>
      </w:r>
      <w:r>
        <w:rPr>
          <w:rFonts w:eastAsia="Arial" w:cs="Arial" w:ascii="Arial" w:hAnsi="Arial"/>
          <w:color w:val="FF0000"/>
          <w:sz w:val="22"/>
          <w:szCs w:val="22"/>
        </w:rPr>
        <w:t>xxxxx</w:t>
      </w:r>
      <w:r>
        <w:rPr>
          <w:rFonts w:eastAsia="Arial" w:cs="Arial" w:ascii="Arial" w:hAnsi="Arial"/>
          <w:sz w:val="22"/>
          <w:szCs w:val="22"/>
        </w:rPr>
        <w:t>, ocupante do cargo de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xxxxx</w:t>
      </w:r>
      <w:r>
        <w:rPr>
          <w:rFonts w:eastAsia="Arial" w:cs="Arial" w:ascii="Arial" w:hAnsi="Arial"/>
          <w:sz w:val="22"/>
          <w:szCs w:val="22"/>
        </w:rPr>
        <w:t>, lotado no Campus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xxxxxx</w:t>
      </w:r>
      <w:r>
        <w:rPr>
          <w:rFonts w:eastAsia="Arial" w:cs="Arial" w:ascii="Arial" w:hAnsi="Arial"/>
          <w:sz w:val="22"/>
          <w:szCs w:val="22"/>
        </w:rPr>
        <w:t xml:space="preserve">, para apurar possível infração disciplinar cometida, relativa a </w:t>
      </w:r>
      <w:r>
        <w:rPr>
          <w:rFonts w:eastAsia="Arial" w:cs="Arial" w:ascii="Arial" w:hAnsi="Arial"/>
          <w:color w:val="FF0000"/>
          <w:sz w:val="22"/>
          <w:szCs w:val="22"/>
        </w:rPr>
        <w:t>xxxxxx (resumir brevemente o que está sendo apurado, para inteirar a testemunha/informante)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Por meio  da </w:t>
      </w:r>
      <w:r>
        <w:rPr>
          <w:rFonts w:eastAsia="Arial" w:cs="Arial" w:ascii="Arial" w:hAnsi="Arial"/>
          <w:color w:val="FF0000"/>
          <w:sz w:val="22"/>
          <w:szCs w:val="22"/>
        </w:rPr>
        <w:t>”Portaria” (se for PAD) ou “Despacho” (se for IPS)</w:t>
      </w:r>
      <w:r>
        <w:rPr>
          <w:rFonts w:eastAsia="Arial" w:cs="Arial" w:ascii="Arial" w:hAnsi="Arial"/>
          <w:sz w:val="22"/>
          <w:szCs w:val="22"/>
        </w:rPr>
        <w:t xml:space="preserve"> nº xxxxxx de xxxxxx, foi designada a comissão composta por mim, </w:t>
      </w:r>
      <w:r>
        <w:rPr>
          <w:rFonts w:eastAsia="Arial" w:cs="Arial" w:ascii="Arial" w:hAnsi="Arial"/>
          <w:color w:val="FF0000"/>
          <w:sz w:val="22"/>
          <w:szCs w:val="22"/>
        </w:rPr>
        <w:t>xxxxxx</w:t>
      </w:r>
      <w:r>
        <w:rPr>
          <w:rFonts w:eastAsia="Arial" w:cs="Arial" w:ascii="Arial" w:hAnsi="Arial"/>
          <w:sz w:val="22"/>
          <w:szCs w:val="22"/>
        </w:rPr>
        <w:t xml:space="preserve">, …. 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acrescentar essa frase se for PAD: </w:t>
      </w:r>
      <w:r>
        <w:rPr>
          <w:rFonts w:eastAsia="Arial" w:cs="Arial" w:ascii="Arial" w:hAnsi="Arial"/>
          <w:color w:val="0000FF"/>
          <w:sz w:val="22"/>
          <w:szCs w:val="22"/>
        </w:rPr>
        <w:t>“... na condição de presidente, e pelos membros xxxxx e xxxxx, todos servidores efetivos e estáveis”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- acrescentar essa se for IPS: </w:t>
      </w:r>
      <w:r>
        <w:rPr>
          <w:rFonts w:eastAsia="Arial" w:cs="Arial" w:ascii="Arial" w:hAnsi="Arial"/>
          <w:color w:val="0000FF"/>
          <w:sz w:val="22"/>
          <w:szCs w:val="22"/>
        </w:rPr>
        <w:t>“e pelo segundo membro xxxxx, ambos servidores efetivos do IFC”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1"/>
        <w:widowControl/>
        <w:pBdr/>
        <w:shd w:val="clear" w:fill="auto"/>
        <w:bidi w:val="0"/>
        <w:spacing w:lineRule="auto" w:line="276" w:before="200" w:after="240"/>
        <w:ind w:left="0" w:right="0" w:hanging="0"/>
        <w:jc w:val="both"/>
        <w:rPr>
          <w:rFonts w:eastAsia="Arial"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spacing w:lineRule="auto" w:line="276" w:before="200" w:after="240"/>
        <w:ind w:left="0" w:right="-324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Antes de darmos início à sua oitiva, pergunto: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bidi w:val="0"/>
        <w:spacing w:lineRule="auto" w:line="276" w:before="200" w:after="0"/>
        <w:ind w:left="737" w:right="0" w:hanging="3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Você possui grau de parentesco ou relação de amizade íntima ou inimizade notória com o servidor </w:t>
      </w:r>
      <w:r>
        <w:rPr>
          <w:rFonts w:eastAsia="Arial" w:cs="Arial" w:ascii="Arial" w:hAnsi="Arial"/>
          <w:color w:val="FF0000"/>
          <w:sz w:val="22"/>
          <w:szCs w:val="22"/>
        </w:rPr>
        <w:t>xxxxxx</w:t>
      </w:r>
      <w:r>
        <w:rPr>
          <w:rFonts w:eastAsia="Arial" w:cs="Arial" w:ascii="Arial" w:hAnsi="Arial"/>
          <w:sz w:val="22"/>
          <w:szCs w:val="22"/>
        </w:rPr>
        <w:t>?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bidi w:val="0"/>
        <w:spacing w:lineRule="auto" w:line="276" w:before="200" w:after="0"/>
        <w:ind w:left="737" w:right="0" w:hanging="3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Possui interesse no resultado deste procedimento, seja pelo arquivamento ou pela responsabilização do servidor investigado?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bidi w:val="0"/>
        <w:spacing w:lineRule="auto" w:line="276" w:before="200" w:after="240"/>
        <w:ind w:left="737" w:right="0" w:hanging="34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Você identifica qualquer fato que possa comprometer sua imparcialidade como depoente ou que, na sua avaliação, o impeça de colaborar com isenção neste ato?”</w:t>
      </w:r>
    </w:p>
    <w:p>
      <w:pPr>
        <w:pStyle w:val="Normal1"/>
        <w:widowControl/>
        <w:bidi w:val="0"/>
        <w:spacing w:lineRule="auto" w:line="240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______________________________________________________________________________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 xml:space="preserve">Caso o depoente responda </w:t>
      </w:r>
      <w:r>
        <w:rPr>
          <w:rFonts w:eastAsia="Arial" w:cs="Arial" w:ascii="Arial" w:hAnsi="Arial"/>
          <w:b/>
          <w:color w:val="FF0000"/>
          <w:sz w:val="22"/>
          <w:szCs w:val="22"/>
        </w:rPr>
        <w:t>SIM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para alguma das perguntas acima, deverá ser ouvido na condição de informante.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FF"/>
          <w:sz w:val="22"/>
          <w:szCs w:val="22"/>
        </w:rPr>
        <w:t>Falar: “</w:t>
      </w:r>
      <w:r>
        <w:rPr>
          <w:rFonts w:eastAsia="Arial" w:cs="Arial" w:ascii="Arial" w:hAnsi="Arial"/>
          <w:color w:val="0000FF"/>
          <w:sz w:val="22"/>
          <w:szCs w:val="22"/>
        </w:rPr>
        <w:t xml:space="preserve">Dessa forma, o senhor será ouvido na condição de </w:t>
      </w:r>
      <w:r>
        <w:rPr>
          <w:rFonts w:eastAsia="Arial" w:cs="Arial" w:ascii="Arial" w:hAnsi="Arial"/>
          <w:b/>
          <w:color w:val="0000FF"/>
          <w:sz w:val="22"/>
          <w:szCs w:val="22"/>
        </w:rPr>
        <w:t xml:space="preserve">INFORMANTE </w:t>
      </w:r>
      <w:r>
        <w:rPr>
          <w:rFonts w:eastAsia="Arial" w:cs="Arial" w:ascii="Arial" w:hAnsi="Arial"/>
          <w:color w:val="0000FF"/>
          <w:sz w:val="22"/>
          <w:szCs w:val="22"/>
        </w:rPr>
        <w:t xml:space="preserve">e </w:t>
      </w:r>
      <w:r>
        <w:rPr>
          <w:rFonts w:eastAsia="Arial" w:cs="Arial" w:ascii="Arial" w:hAnsi="Arial"/>
          <w:b/>
          <w:color w:val="0000FF"/>
          <w:sz w:val="22"/>
          <w:szCs w:val="22"/>
        </w:rPr>
        <w:t>NÃO</w:t>
      </w:r>
      <w:r>
        <w:rPr>
          <w:rFonts w:eastAsia="Arial" w:cs="Arial" w:ascii="Arial" w:hAnsi="Arial"/>
          <w:color w:val="0000FF"/>
          <w:sz w:val="22"/>
          <w:szCs w:val="22"/>
        </w:rPr>
        <w:t xml:space="preserve"> prestará o compromisso legal de dizer a verdade”.</w:t>
      </w:r>
    </w:p>
    <w:p>
      <w:pPr>
        <w:pStyle w:val="Normal1"/>
        <w:widowControl/>
        <w:bidi w:val="0"/>
        <w:spacing w:lineRule="auto" w:line="240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_______________________________________________________________________________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 xml:space="preserve">Caso o depoente responda </w:t>
      </w:r>
      <w:r>
        <w:rPr>
          <w:rFonts w:eastAsia="Arial" w:cs="Arial" w:ascii="Arial" w:hAnsi="Arial"/>
          <w:b/>
          <w:color w:val="FF0000"/>
          <w:sz w:val="22"/>
          <w:szCs w:val="22"/>
        </w:rPr>
        <w:t xml:space="preserve">NÃO </w:t>
      </w:r>
      <w:r>
        <w:rPr>
          <w:rFonts w:eastAsia="Arial" w:cs="Arial" w:ascii="Arial" w:hAnsi="Arial"/>
          <w:color w:val="FF0000"/>
          <w:sz w:val="22"/>
          <w:szCs w:val="22"/>
        </w:rPr>
        <w:t>para alguma das perguntas acima, será ouvido como testemunha e prestará o compromisso de dizer a verdade: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FF"/>
          <w:sz w:val="22"/>
          <w:szCs w:val="22"/>
        </w:rPr>
        <w:t xml:space="preserve">Falar: </w:t>
      </w:r>
      <w:r>
        <w:rPr>
          <w:rFonts w:eastAsia="Arial" w:cs="Arial" w:ascii="Arial" w:hAnsi="Arial"/>
          <w:color w:val="0000FF"/>
          <w:sz w:val="22"/>
          <w:szCs w:val="22"/>
        </w:rPr>
        <w:t>"Como não foi identificado impedimento ou suspeição, o  senhor  se compromete, neste ato, a dizer a verdade em resposta às perguntas que lhe forem formuladas?"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>(</w:t>
      </w:r>
      <w:r>
        <w:rPr>
          <w:rFonts w:eastAsia="Arial" w:cs="Arial" w:ascii="Arial" w:hAnsi="Arial"/>
          <w:i/>
          <w:color w:val="FF0000"/>
          <w:sz w:val="22"/>
          <w:szCs w:val="22"/>
        </w:rPr>
        <w:t>Aguardar resposta</w:t>
      </w:r>
      <w:r>
        <w:rPr>
          <w:rFonts w:eastAsia="Arial" w:cs="Arial" w:ascii="Arial" w:hAnsi="Arial"/>
          <w:color w:val="FF0000"/>
          <w:sz w:val="22"/>
          <w:szCs w:val="22"/>
        </w:rPr>
        <w:t>)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FF"/>
          <w:sz w:val="22"/>
          <w:szCs w:val="22"/>
        </w:rPr>
        <w:t>Se a resposta for afirmativa, falar:</w:t>
      </w:r>
      <w:r>
        <w:rPr>
          <w:rFonts w:eastAsia="Arial" w:cs="Arial" w:ascii="Arial" w:hAnsi="Arial"/>
          <w:color w:val="0000FF"/>
          <w:sz w:val="22"/>
          <w:szCs w:val="22"/>
        </w:rPr>
        <w:t xml:space="preserve"> "Como servidor público federal o senhor está obrigado a responder as perguntas que lhe forem formuladas, conforme prevê o art. 117, inciso IV, da Lei 8.112/1990. Ressaltamos que eventual falsidade em seu depoimento poderá constituir crime de falso testemunho, conforme art. 342 do Código Penal". </w:t>
      </w:r>
    </w:p>
    <w:p>
      <w:pPr>
        <w:pStyle w:val="Normal1"/>
        <w:widowControl/>
        <w:bidi w:val="0"/>
        <w:spacing w:lineRule="auto" w:line="276" w:before="200" w:after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Ao término de cada oitiva, deve-se anunciar em voz alta a data e o horário de encerramento, e, em seguida, pausar a gravação.</w:t>
      </w:r>
    </w:p>
    <w:p>
      <w:pPr>
        <w:pStyle w:val="Normal1"/>
        <w:spacing w:lineRule="auto" w:line="276" w:before="200" w:after="240"/>
        <w:ind w:left="0" w:right="-324" w:hanging="0"/>
        <w:jc w:val="both"/>
        <w:rPr>
          <w:rFonts w:ascii="Arial" w:hAnsi="Arial" w:eastAsia="Arial" w:cs="Arial"/>
          <w:color w:val="4A86E8"/>
          <w:sz w:val="22"/>
          <w:szCs w:val="22"/>
        </w:rPr>
      </w:pPr>
      <w:r>
        <w:rPr>
          <w:rFonts w:eastAsia="Arial" w:cs="Arial" w:ascii="Arial" w:hAnsi="Arial"/>
          <w:color w:val="4A86E8"/>
          <w:sz w:val="22"/>
          <w:szCs w:val="22"/>
        </w:rPr>
      </w:r>
    </w:p>
    <w:p>
      <w:pPr>
        <w:pStyle w:val="Normal1"/>
        <w:spacing w:lineRule="auto" w:line="240" w:before="240" w:after="240"/>
        <w:ind w:left="0" w:right="-324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4"/>
      <w:type w:val="nextPage"/>
      <w:pgSz w:w="11906" w:h="16838"/>
      <w:pgMar w:left="1134" w:right="1134" w:header="283" w:top="141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variable"/>
  </w:font>
  <w:font w:name="Times New Roman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>
        <w:rFonts w:ascii="Times New Roman" w:hAnsi="Times New Roman" w:eastAsia="Times New Roman" w:cs="Times New Roman"/>
        <w:color w:val="00000A"/>
        <w:sz w:val="6"/>
        <w:szCs w:val="6"/>
      </w:rPr>
    </w:pPr>
    <w:r>
      <w:rPr>
        <w:rFonts w:eastAsia="Times New Roman" w:cs="Times New Roman" w:ascii="Times New Roman" w:hAnsi="Times New Roman"/>
        <w:color w:val="00000A"/>
        <w:sz w:val="6"/>
        <w:szCs w:val="6"/>
      </w:rPr>
    </w:r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</w:r>
    <w:bookmarkStart w:id="0" w:name="_m7qney2euubq"/>
    <w:bookmarkStart w:id="1" w:name="_m7qney2euubq"/>
    <w:bookmarkEnd w:id="1"/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2827020</wp:posOffset>
          </wp:positionH>
          <wp:positionV relativeFrom="paragraph">
            <wp:posOffset>635</wp:posOffset>
          </wp:positionV>
          <wp:extent cx="462915" cy="43815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42epfopsi6at"/>
    <w:bookmarkStart w:id="3" w:name="_42epfopsi6at"/>
    <w:bookmarkEnd w:id="3"/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</w:r>
    <w:bookmarkStart w:id="4" w:name="_za82sna03by5"/>
    <w:bookmarkStart w:id="5" w:name="_za82sna03by5"/>
    <w:bookmarkEnd w:id="5"/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</w:r>
    <w:bookmarkStart w:id="6" w:name="_emjimiqqs9gw"/>
    <w:bookmarkStart w:id="7" w:name="_emjimiqqs9gw"/>
    <w:bookmarkEnd w:id="7"/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bookmarkStart w:id="8" w:name="_gjdgxs"/>
    <w:bookmarkEnd w:id="8"/>
    <w:r>
      <w:rPr>
        <w:rFonts w:eastAsia="Times New Roman" w:cs="Times New Roman" w:ascii="Times New Roman" w:hAnsi="Times New Roman"/>
        <w:color w:val="00000A"/>
        <w:sz w:val="20"/>
        <w:szCs w:val="20"/>
      </w:rPr>
      <w:t>Ministério da Educação</w:t>
    </w:r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t xml:space="preserve">Secretaria de Educação Profissional e Tecnológica </w:t>
    </w:r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color w:val="00000A"/>
        <w:sz w:val="20"/>
        <w:szCs w:val="20"/>
      </w:rPr>
      <w:t>Instituto Federal Catarinense</w:t>
    </w:r>
  </w:p>
  <w:p>
    <w:pPr>
      <w:pStyle w:val="Normal1"/>
      <w:jc w:val="center"/>
      <w:rPr/>
    </w:pPr>
    <w:r>
      <w:rPr>
        <w:rFonts w:eastAsia="Times New Roman" w:cs="Times New Roman" w:ascii="Times New Roman" w:hAnsi="Times New Roman"/>
        <w:color w:val="00000A"/>
        <w:sz w:val="20"/>
        <w:szCs w:val="20"/>
      </w:rPr>
      <w:t>Corregedoria</w:t>
    </w:r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</w:r>
  </w:p>
  <w:p>
    <w:pPr>
      <w:pStyle w:val="Normal1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◆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◆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◆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s.cafe.rnp.br/WAYF?entityID=https%3A%2F%2Fconferenciaweb.rnp.br%2Fshibboleth-sp2&amp;return=https%3A%2F%2Fconferenciaweb.rnp.br%2FShibboleth.sso%2FDS%3FSAMLDS%3D1%26target%3Dcookie%253A1751994599_22f3" TargetMode="External"/><Relationship Id="rId3" Type="http://schemas.openxmlformats.org/officeDocument/2006/relationships/hyperlink" Target="https://corregedoria.ifc.edu.br/wp-content/uploads/sites/43/2025/02/Passo-a-Passo-ACESSO-CAFE-Gravacao-de-oitivas-sistema-RNP-2.pdf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4</Pages>
  <Words>1093</Words>
  <Characters>6510</Characters>
  <CharactersWithSpaces>7549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2025-07-08T17:17:21Z</dcterms:modified>
  <cp:revision>1</cp:revision>
  <dc:subject/>
  <dc:title/>
</cp:coreProperties>
</file>